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7" w:tblpY="151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医药实验动物中心服务外包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经营范围、投标人简单情况介绍以及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color w:val="auto"/>
                <w:sz w:val="24"/>
              </w:rPr>
              <w:t>保证金缴费凭证随报名表一起发送至指定邮箱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3F948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2026-07-10T08:46:42Z</dcterms:created>
  <dc:creator>Administrator</dc:creator>
  <cp:lastModifiedBy>小怪兽</cp:lastModifiedBy>
  <dcterms:modified xsi:type="dcterms:W3CDTF">2026-07-10T08:48:04Z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1669DD6C6B1B4DDAAEEC692253C8C215_12</vt:lpwstr>
  </property>
</Properties>
</file>